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917" w:rsidRPr="00384917" w:rsidRDefault="00384917" w:rsidP="00384917">
      <w:pPr>
        <w:ind w:left="1416" w:firstLine="708"/>
        <w:rPr>
          <w:lang w:val="en-GB"/>
        </w:rPr>
      </w:pPr>
      <w:r w:rsidRPr="00384917">
        <w:rPr>
          <w:lang w:val="nl-BE"/>
        </w:rPr>
        <w:drawing>
          <wp:anchor distT="0" distB="0" distL="114300" distR="114300" simplePos="0" relativeHeight="251660288" behindDoc="0" locked="0" layoutInCell="1" allowOverlap="1" wp14:anchorId="5DB291E7" wp14:editId="269429DB">
            <wp:simplePos x="0" y="0"/>
            <wp:positionH relativeFrom="column">
              <wp:posOffset>-506730</wp:posOffset>
            </wp:positionH>
            <wp:positionV relativeFrom="paragraph">
              <wp:posOffset>-472440</wp:posOffset>
            </wp:positionV>
            <wp:extent cx="1587500" cy="7569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7500" cy="756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4917">
        <w:rPr>
          <w:lang w:val="nl-BE"/>
        </w:rPr>
        <w:drawing>
          <wp:anchor distT="0" distB="0" distL="114300" distR="114300" simplePos="0" relativeHeight="251659264" behindDoc="1" locked="0" layoutInCell="1" allowOverlap="1" wp14:anchorId="2A5A364D" wp14:editId="61E1E7CF">
            <wp:simplePos x="0" y="0"/>
            <wp:positionH relativeFrom="column">
              <wp:posOffset>5034915</wp:posOffset>
            </wp:positionH>
            <wp:positionV relativeFrom="paragraph">
              <wp:posOffset>-196215</wp:posOffset>
            </wp:positionV>
            <wp:extent cx="1485900" cy="577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7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4917">
        <w:rPr>
          <w:lang w:val="en-GB"/>
        </w:rPr>
        <w:t>CCNURCA: 544169–TEMPUS–1–2013-1-BE-TEMPUS-JPCR</w:t>
      </w:r>
    </w:p>
    <w:p w:rsidR="00384917" w:rsidRPr="00384917" w:rsidRDefault="00384917" w:rsidP="00384917">
      <w:pPr>
        <w:rPr>
          <w:b/>
          <w:lang w:val="en-GB"/>
        </w:rPr>
      </w:pPr>
    </w:p>
    <w:p w:rsidR="00384917" w:rsidRPr="00384917" w:rsidRDefault="00384917" w:rsidP="00384917">
      <w:pPr>
        <w:rPr>
          <w:b/>
          <w:lang w:val="en-GB"/>
        </w:rPr>
      </w:pPr>
      <w:r w:rsidRPr="00384917">
        <w:rPr>
          <w:b/>
          <w:lang w:val="en-GB"/>
        </w:rPr>
        <w:t>Road  map</w:t>
      </w:r>
      <w:r>
        <w:rPr>
          <w:b/>
          <w:lang w:val="en-GB"/>
        </w:rPr>
        <w:t xml:space="preserve"> draft</w:t>
      </w:r>
      <w:bookmarkStart w:id="0" w:name="_GoBack"/>
      <w:bookmarkEnd w:id="0"/>
    </w:p>
    <w:p w:rsidR="00384917" w:rsidRPr="00384917" w:rsidRDefault="00384917" w:rsidP="00384917">
      <w:pPr>
        <w:rPr>
          <w:b/>
          <w:lang w:val="en-GB"/>
        </w:rPr>
      </w:pPr>
      <w:r w:rsidRPr="00384917">
        <w:rPr>
          <w:b/>
          <w:lang w:val="en-GB"/>
        </w:rPr>
        <w:t xml:space="preserve">Structure of the document </w:t>
      </w:r>
    </w:p>
    <w:p w:rsidR="00384917" w:rsidRPr="00384917" w:rsidRDefault="00384917" w:rsidP="00384917">
      <w:pPr>
        <w:rPr>
          <w:b/>
          <w:lang w:val="en-GB"/>
        </w:rPr>
      </w:pPr>
      <w:r w:rsidRPr="00384917">
        <w:rPr>
          <w:b/>
          <w:lang w:val="en-GB"/>
        </w:rPr>
        <w:t xml:space="preserve">Chapter I. </w:t>
      </w:r>
    </w:p>
    <w:p w:rsidR="00384917" w:rsidRPr="00384917" w:rsidRDefault="00384917" w:rsidP="00384917">
      <w:pPr>
        <w:rPr>
          <w:lang w:val="en-GB"/>
        </w:rPr>
      </w:pPr>
      <w:r w:rsidRPr="00384917">
        <w:rPr>
          <w:b/>
          <w:lang w:val="en-GB"/>
        </w:rPr>
        <w:t xml:space="preserve">            </w:t>
      </w:r>
      <w:r w:rsidRPr="00384917">
        <w:rPr>
          <w:lang w:val="en-GB"/>
        </w:rPr>
        <w:t xml:space="preserve">   Introduction</w:t>
      </w:r>
    </w:p>
    <w:p w:rsidR="00384917" w:rsidRPr="00384917" w:rsidRDefault="00384917" w:rsidP="00384917">
      <w:pPr>
        <w:rPr>
          <w:b/>
          <w:lang w:val="en-GB"/>
        </w:rPr>
      </w:pPr>
      <w:r w:rsidRPr="00384917">
        <w:rPr>
          <w:b/>
          <w:lang w:val="en-GB"/>
        </w:rPr>
        <w:t>Chapter II</w:t>
      </w:r>
    </w:p>
    <w:p w:rsidR="00384917" w:rsidRPr="00384917" w:rsidRDefault="00384917" w:rsidP="00384917">
      <w:pPr>
        <w:rPr>
          <w:lang w:val="en-GB"/>
        </w:rPr>
      </w:pPr>
      <w:r w:rsidRPr="00384917">
        <w:rPr>
          <w:lang w:val="en-GB"/>
        </w:rPr>
        <w:t>Analysis of WB nursing curriculum</w:t>
      </w:r>
    </w:p>
    <w:p w:rsidR="00384917" w:rsidRPr="00384917" w:rsidRDefault="00384917" w:rsidP="00384917">
      <w:pPr>
        <w:rPr>
          <w:lang w:val="en-GB"/>
        </w:rPr>
      </w:pPr>
      <w:r w:rsidRPr="00384917">
        <w:rPr>
          <w:lang w:val="en-GB"/>
        </w:rPr>
        <w:t>Analysis of EU nursing curriculum</w:t>
      </w:r>
    </w:p>
    <w:p w:rsidR="00384917" w:rsidRPr="00384917" w:rsidRDefault="00384917" w:rsidP="00384917">
      <w:pPr>
        <w:rPr>
          <w:b/>
          <w:lang w:val="en-GB"/>
        </w:rPr>
      </w:pPr>
      <w:r w:rsidRPr="00384917">
        <w:rPr>
          <w:b/>
          <w:lang w:val="en-GB"/>
        </w:rPr>
        <w:t>Chapter IIII</w:t>
      </w:r>
    </w:p>
    <w:p w:rsidR="00384917" w:rsidRPr="00384917" w:rsidRDefault="00384917" w:rsidP="00384917">
      <w:pPr>
        <w:rPr>
          <w:lang w:val="en-GB"/>
        </w:rPr>
      </w:pPr>
      <w:r w:rsidRPr="00384917">
        <w:rPr>
          <w:lang w:val="en-GB"/>
        </w:rPr>
        <w:t>Competence Analysis in EU and WB</w:t>
      </w:r>
    </w:p>
    <w:p w:rsidR="00384917" w:rsidRPr="00384917" w:rsidRDefault="00384917" w:rsidP="00384917">
      <w:pPr>
        <w:rPr>
          <w:b/>
          <w:lang w:val="en-GB"/>
        </w:rPr>
      </w:pPr>
      <w:r w:rsidRPr="00384917">
        <w:rPr>
          <w:b/>
          <w:lang w:val="en-GB"/>
        </w:rPr>
        <w:t>Chapter IV</w:t>
      </w:r>
    </w:p>
    <w:p w:rsidR="00384917" w:rsidRPr="00384917" w:rsidRDefault="00384917" w:rsidP="00384917">
      <w:pPr>
        <w:rPr>
          <w:lang w:val="en-GB"/>
        </w:rPr>
      </w:pPr>
      <w:r w:rsidRPr="00384917">
        <w:rPr>
          <w:lang w:val="en-GB"/>
        </w:rPr>
        <w:t>Educational goals and outcomes of nursing curriculum</w:t>
      </w:r>
    </w:p>
    <w:p w:rsidR="00384917" w:rsidRPr="00384917" w:rsidRDefault="00384917" w:rsidP="00384917">
      <w:pPr>
        <w:rPr>
          <w:b/>
          <w:lang w:val="en-GB"/>
        </w:rPr>
      </w:pPr>
      <w:r w:rsidRPr="00384917">
        <w:rPr>
          <w:b/>
          <w:lang w:val="en-GB"/>
        </w:rPr>
        <w:t>Chapter V</w:t>
      </w:r>
    </w:p>
    <w:p w:rsidR="00384917" w:rsidRPr="00384917" w:rsidRDefault="00384917" w:rsidP="00384917">
      <w:pPr>
        <w:rPr>
          <w:lang w:val="en-GB"/>
        </w:rPr>
      </w:pPr>
      <w:r w:rsidRPr="00384917">
        <w:rPr>
          <w:lang w:val="en-GB"/>
        </w:rPr>
        <w:t>Common set of competencies for all WB Partners</w:t>
      </w:r>
    </w:p>
    <w:p w:rsidR="00384917" w:rsidRPr="00384917" w:rsidRDefault="00384917" w:rsidP="00384917">
      <w:pPr>
        <w:rPr>
          <w:b/>
          <w:lang w:val="en-GB"/>
        </w:rPr>
      </w:pPr>
      <w:r w:rsidRPr="00384917">
        <w:rPr>
          <w:b/>
          <w:lang w:val="en-GB"/>
        </w:rPr>
        <w:t>Chapter VI</w:t>
      </w:r>
    </w:p>
    <w:p w:rsidR="00384917" w:rsidRPr="00384917" w:rsidRDefault="00384917" w:rsidP="00384917">
      <w:pPr>
        <w:rPr>
          <w:lang w:val="en-GB"/>
        </w:rPr>
      </w:pPr>
      <w:r w:rsidRPr="00384917">
        <w:rPr>
          <w:lang w:val="en-GB"/>
        </w:rPr>
        <w:t>Guidelines  for creation of new competence based curriculum</w:t>
      </w:r>
    </w:p>
    <w:p w:rsidR="00384917" w:rsidRPr="00384917" w:rsidRDefault="00384917" w:rsidP="00384917">
      <w:pPr>
        <w:rPr>
          <w:lang w:val="en-GB"/>
        </w:rPr>
      </w:pPr>
      <w:r w:rsidRPr="00384917">
        <w:rPr>
          <w:lang w:val="en-GB"/>
        </w:rPr>
        <w:t>New teaching methodologies</w:t>
      </w:r>
    </w:p>
    <w:p w:rsidR="00384917" w:rsidRPr="00384917" w:rsidRDefault="00384917" w:rsidP="00384917">
      <w:pPr>
        <w:rPr>
          <w:lang w:val="en-GB"/>
        </w:rPr>
      </w:pPr>
      <w:r w:rsidRPr="00384917">
        <w:rPr>
          <w:lang w:val="en-GB"/>
        </w:rPr>
        <w:t>New examine methodologies</w:t>
      </w:r>
    </w:p>
    <w:p w:rsidR="00384917" w:rsidRPr="00384917" w:rsidRDefault="00384917" w:rsidP="00384917">
      <w:pPr>
        <w:rPr>
          <w:b/>
          <w:lang w:val="en-GB"/>
        </w:rPr>
      </w:pPr>
      <w:r w:rsidRPr="00384917">
        <w:rPr>
          <w:b/>
          <w:lang w:val="en-GB"/>
        </w:rPr>
        <w:t>Chapter VII</w:t>
      </w:r>
    </w:p>
    <w:p w:rsidR="00384917" w:rsidRPr="00384917" w:rsidRDefault="00384917" w:rsidP="00384917">
      <w:pPr>
        <w:rPr>
          <w:lang w:val="en-GB"/>
        </w:rPr>
      </w:pPr>
      <w:r w:rsidRPr="00384917">
        <w:rPr>
          <w:lang w:val="en-GB"/>
        </w:rPr>
        <w:t>Development of TOT (training of trainers) methodology</w:t>
      </w:r>
    </w:p>
    <w:p w:rsidR="00384917" w:rsidRPr="00384917" w:rsidRDefault="00384917" w:rsidP="00384917">
      <w:pPr>
        <w:rPr>
          <w:lang w:val="en-GB"/>
        </w:rPr>
      </w:pPr>
      <w:r w:rsidRPr="00384917">
        <w:rPr>
          <w:lang w:val="en-GB"/>
        </w:rPr>
        <w:t>Development of TOT plan and programme</w:t>
      </w:r>
    </w:p>
    <w:p w:rsidR="00384917" w:rsidRPr="00384917" w:rsidRDefault="00384917" w:rsidP="00384917">
      <w:pPr>
        <w:rPr>
          <w:lang w:val="en-GB"/>
        </w:rPr>
      </w:pPr>
      <w:r w:rsidRPr="00384917">
        <w:rPr>
          <w:lang w:val="en-GB"/>
        </w:rPr>
        <w:t>Training of trainers</w:t>
      </w:r>
    </w:p>
    <w:p w:rsidR="00384917" w:rsidRPr="00384917" w:rsidRDefault="00384917" w:rsidP="00384917">
      <w:pPr>
        <w:rPr>
          <w:b/>
          <w:lang w:val="en-GB"/>
        </w:rPr>
      </w:pPr>
      <w:r w:rsidRPr="00384917">
        <w:rPr>
          <w:b/>
          <w:lang w:val="en-GB"/>
        </w:rPr>
        <w:t>Chapter VIII</w:t>
      </w:r>
    </w:p>
    <w:p w:rsidR="00384917" w:rsidRPr="00384917" w:rsidRDefault="00384917" w:rsidP="00384917">
      <w:pPr>
        <w:rPr>
          <w:lang w:val="en-GB"/>
        </w:rPr>
      </w:pPr>
      <w:r w:rsidRPr="00384917">
        <w:rPr>
          <w:lang w:val="en-GB"/>
        </w:rPr>
        <w:t>Establishing  of the new curriculum</w:t>
      </w:r>
    </w:p>
    <w:p w:rsidR="00384917" w:rsidRPr="00384917" w:rsidRDefault="00384917" w:rsidP="00384917">
      <w:pPr>
        <w:rPr>
          <w:lang w:val="en-GB"/>
        </w:rPr>
      </w:pPr>
      <w:r w:rsidRPr="00384917">
        <w:rPr>
          <w:lang w:val="en-GB"/>
        </w:rPr>
        <w:t>Validation of new curriculum through pilot project</w:t>
      </w:r>
    </w:p>
    <w:p w:rsidR="00384917" w:rsidRPr="00384917" w:rsidRDefault="00384917" w:rsidP="00384917">
      <w:pPr>
        <w:rPr>
          <w:b/>
          <w:lang w:val="en-GB"/>
        </w:rPr>
      </w:pPr>
      <w:r w:rsidRPr="00384917">
        <w:rPr>
          <w:b/>
          <w:lang w:val="en-GB"/>
        </w:rPr>
        <w:t>Chapter IX</w:t>
      </w:r>
    </w:p>
    <w:p w:rsidR="00384917" w:rsidRPr="00384917" w:rsidRDefault="00384917" w:rsidP="00384917">
      <w:pPr>
        <w:rPr>
          <w:lang w:val="en-GB"/>
        </w:rPr>
      </w:pPr>
      <w:r w:rsidRPr="00384917">
        <w:rPr>
          <w:lang w:val="en-GB"/>
        </w:rPr>
        <w:t>Publishing teaching material</w:t>
      </w:r>
    </w:p>
    <w:p w:rsidR="00384917" w:rsidRPr="00384917" w:rsidRDefault="00384917" w:rsidP="00384917">
      <w:pPr>
        <w:rPr>
          <w:b/>
          <w:lang w:val="en-GB"/>
        </w:rPr>
      </w:pPr>
      <w:r w:rsidRPr="00384917">
        <w:rPr>
          <w:b/>
          <w:lang w:val="en-GB"/>
        </w:rPr>
        <w:t>Chapter X</w:t>
      </w:r>
    </w:p>
    <w:p w:rsidR="00384917" w:rsidRPr="00384917" w:rsidRDefault="00384917" w:rsidP="00384917">
      <w:pPr>
        <w:rPr>
          <w:lang w:val="en-GB"/>
        </w:rPr>
      </w:pPr>
      <w:r w:rsidRPr="00384917">
        <w:rPr>
          <w:lang w:val="en-GB"/>
        </w:rPr>
        <w:t>Capacity building of WB nursing schools</w:t>
      </w:r>
    </w:p>
    <w:p w:rsidR="00384917" w:rsidRPr="00384917" w:rsidRDefault="00384917" w:rsidP="00384917">
      <w:pPr>
        <w:rPr>
          <w:b/>
          <w:lang w:val="en-GB"/>
        </w:rPr>
      </w:pPr>
      <w:r w:rsidRPr="00384917">
        <w:rPr>
          <w:b/>
          <w:lang w:val="en-GB"/>
        </w:rPr>
        <w:t>Chapter XI</w:t>
      </w:r>
    </w:p>
    <w:p w:rsidR="00384917" w:rsidRPr="00384917" w:rsidRDefault="00384917" w:rsidP="00384917">
      <w:pPr>
        <w:rPr>
          <w:lang w:val="en-GB"/>
        </w:rPr>
      </w:pPr>
      <w:r w:rsidRPr="00384917">
        <w:rPr>
          <w:lang w:val="en-GB"/>
        </w:rPr>
        <w:lastRenderedPageBreak/>
        <w:t>Dissemination and sustainability strategies</w:t>
      </w:r>
    </w:p>
    <w:p w:rsidR="00384917" w:rsidRPr="00384917" w:rsidRDefault="00384917" w:rsidP="00384917">
      <w:pPr>
        <w:rPr>
          <w:b/>
          <w:lang w:val="fr-FR"/>
        </w:rPr>
      </w:pPr>
      <w:proofErr w:type="spellStart"/>
      <w:r w:rsidRPr="00384917">
        <w:rPr>
          <w:b/>
          <w:lang w:val="fr-FR"/>
        </w:rPr>
        <w:t>Chapter</w:t>
      </w:r>
      <w:proofErr w:type="spellEnd"/>
      <w:r w:rsidRPr="00384917">
        <w:rPr>
          <w:b/>
          <w:lang w:val="fr-FR"/>
        </w:rPr>
        <w:t xml:space="preserve"> XII</w:t>
      </w:r>
    </w:p>
    <w:p w:rsidR="00384917" w:rsidRPr="00384917" w:rsidRDefault="00384917" w:rsidP="00384917">
      <w:pPr>
        <w:rPr>
          <w:lang w:val="fr-FR"/>
        </w:rPr>
      </w:pPr>
      <w:r w:rsidRPr="00384917">
        <w:rPr>
          <w:lang w:val="fr-FR"/>
        </w:rPr>
        <w:t>Conclusion</w:t>
      </w:r>
    </w:p>
    <w:p w:rsidR="00384917" w:rsidRPr="00384917" w:rsidRDefault="00384917" w:rsidP="00384917">
      <w:pPr>
        <w:rPr>
          <w:b/>
          <w:lang w:val="fr-FR"/>
        </w:rPr>
      </w:pPr>
      <w:r w:rsidRPr="00384917">
        <w:rPr>
          <w:lang w:val="fr-FR"/>
        </w:rPr>
        <w:br w:type="page"/>
      </w:r>
    </w:p>
    <w:p w:rsidR="00384917" w:rsidRPr="00384917" w:rsidRDefault="00384917" w:rsidP="00384917">
      <w:pPr>
        <w:rPr>
          <w:b/>
          <w:lang w:val="fr-FR"/>
        </w:rPr>
      </w:pPr>
      <w:proofErr w:type="spellStart"/>
      <w:r w:rsidRPr="00384917">
        <w:rPr>
          <w:b/>
          <w:lang w:val="fr-FR"/>
        </w:rPr>
        <w:lastRenderedPageBreak/>
        <w:t>Chapter</w:t>
      </w:r>
      <w:proofErr w:type="spellEnd"/>
      <w:r w:rsidRPr="00384917">
        <w:rPr>
          <w:b/>
          <w:lang w:val="fr-FR"/>
        </w:rPr>
        <w:t xml:space="preserve"> I. </w:t>
      </w:r>
    </w:p>
    <w:p w:rsidR="00384917" w:rsidRPr="00384917" w:rsidRDefault="00384917" w:rsidP="00384917">
      <w:pPr>
        <w:rPr>
          <w:b/>
          <w:lang w:val="en-GB"/>
        </w:rPr>
      </w:pPr>
      <w:r w:rsidRPr="00384917">
        <w:rPr>
          <w:b/>
          <w:lang w:val="en-GB"/>
        </w:rPr>
        <w:t>Introduction:</w:t>
      </w:r>
    </w:p>
    <w:p w:rsidR="00384917" w:rsidRPr="00384917" w:rsidRDefault="00384917" w:rsidP="00384917">
      <w:pPr>
        <w:rPr>
          <w:lang w:val="en-GB"/>
        </w:rPr>
      </w:pPr>
      <w:r w:rsidRPr="00384917">
        <w:rPr>
          <w:lang w:val="en-GB"/>
        </w:rPr>
        <w:t>This roadmap is a document which reflects the progress on the project CCNURCA: Competency based Curriculum Reform in Nursing</w:t>
      </w:r>
    </w:p>
    <w:p w:rsidR="00384917" w:rsidRPr="00384917" w:rsidRDefault="00384917" w:rsidP="00384917">
      <w:pPr>
        <w:rPr>
          <w:lang w:val="en-GB"/>
        </w:rPr>
      </w:pPr>
      <w:r w:rsidRPr="00384917">
        <w:rPr>
          <w:lang w:val="en-GB"/>
        </w:rPr>
        <w:t>and Caring in Western Balkan Universities.</w:t>
      </w:r>
    </w:p>
    <w:p w:rsidR="00384917" w:rsidRPr="00384917" w:rsidRDefault="00384917" w:rsidP="00384917">
      <w:pPr>
        <w:rPr>
          <w:lang w:val="en-GB"/>
        </w:rPr>
      </w:pPr>
      <w:r w:rsidRPr="00384917">
        <w:rPr>
          <w:lang w:val="en-GB"/>
        </w:rPr>
        <w:t>This project is financed by the European Union via “Tempus”</w:t>
      </w:r>
    </w:p>
    <w:p w:rsidR="00384917" w:rsidRPr="00384917" w:rsidRDefault="00384917" w:rsidP="00384917">
      <w:pPr>
        <w:rPr>
          <w:bCs/>
          <w:lang w:val="en-GB"/>
        </w:rPr>
      </w:pPr>
      <w:r w:rsidRPr="00384917">
        <w:rPr>
          <w:bCs/>
          <w:lang w:val="en-GB"/>
        </w:rPr>
        <w:t>Tempus is the European Union’s programme which supports the modernisation of higher education in the Partner Countries of Eastern Europe, Central Asia, the Western Balkans and the Mediterranean region, mainly through university cooperation projects.</w:t>
      </w:r>
    </w:p>
    <w:p w:rsidR="00384917" w:rsidRPr="00384917" w:rsidRDefault="00384917" w:rsidP="00384917">
      <w:pPr>
        <w:rPr>
          <w:lang w:val="en-GB"/>
        </w:rPr>
      </w:pPr>
      <w:r w:rsidRPr="00384917">
        <w:rPr>
          <w:lang w:val="en-GB"/>
        </w:rPr>
        <w:t xml:space="preserve">The Education, </w:t>
      </w:r>
      <w:proofErr w:type="spellStart"/>
      <w:r w:rsidRPr="00384917">
        <w:rPr>
          <w:lang w:val="en-GB"/>
        </w:rPr>
        <w:t>Audiovisual</w:t>
      </w:r>
      <w:proofErr w:type="spellEnd"/>
      <w:r w:rsidRPr="00384917">
        <w:rPr>
          <w:lang w:val="en-GB"/>
        </w:rPr>
        <w:t xml:space="preserve"> and Culture Executive Agency (EACEA) is responsible for the management of Tempus IV (2007 – 2013), under the supervision of  </w:t>
      </w:r>
      <w:hyperlink r:id="rId6" w:tgtFrame="_blank" w:history="1">
        <w:proofErr w:type="spellStart"/>
        <w:r w:rsidRPr="00384917">
          <w:rPr>
            <w:rStyle w:val="Hyperlink"/>
            <w:lang w:val="en-GB"/>
          </w:rPr>
          <w:t>EuropeAid</w:t>
        </w:r>
        <w:proofErr w:type="spellEnd"/>
        <w:r w:rsidRPr="00384917">
          <w:rPr>
            <w:rStyle w:val="Hyperlink"/>
            <w:lang w:val="en-GB"/>
          </w:rPr>
          <w:t xml:space="preserve"> </w:t>
        </w:r>
      </w:hyperlink>
      <w:r w:rsidRPr="00384917">
        <w:rPr>
          <w:lang w:val="en-GB"/>
        </w:rPr>
        <w:t xml:space="preserve">(DEVCO) and </w:t>
      </w:r>
      <w:hyperlink r:id="rId7" w:tgtFrame="_blank" w:history="1">
        <w:r w:rsidRPr="00384917">
          <w:rPr>
            <w:rStyle w:val="Hyperlink"/>
            <w:lang w:val="en-GB"/>
          </w:rPr>
          <w:t>Directorate-General for Enlargement</w:t>
        </w:r>
      </w:hyperlink>
      <w:r w:rsidRPr="00384917">
        <w:rPr>
          <w:lang w:val="en-GB"/>
        </w:rPr>
        <w:t xml:space="preserve"> (DG ELARG of the European Commission).</w:t>
      </w:r>
    </w:p>
    <w:p w:rsidR="00384917" w:rsidRPr="00384917" w:rsidRDefault="00384917" w:rsidP="00384917">
      <w:pPr>
        <w:rPr>
          <w:lang w:val="en-GB"/>
        </w:rPr>
      </w:pPr>
    </w:p>
    <w:p w:rsidR="00384917" w:rsidRPr="00384917" w:rsidRDefault="00384917" w:rsidP="00384917">
      <w:pPr>
        <w:rPr>
          <w:lang w:val="en-GB"/>
        </w:rPr>
      </w:pPr>
      <w:r w:rsidRPr="00384917">
        <w:rPr>
          <w:lang w:val="en-GB"/>
        </w:rPr>
        <w:t xml:space="preserve">The roadmap is to be considered a tentative document. It reflects project progress and on-going insight on the further actions that need to be taken. Therefore this roadmap will be  updated on a regular base. </w:t>
      </w:r>
    </w:p>
    <w:p w:rsidR="00384917" w:rsidRPr="00384917" w:rsidRDefault="00384917" w:rsidP="00384917">
      <w:pPr>
        <w:rPr>
          <w:b/>
          <w:lang w:val="en-GB"/>
        </w:rPr>
      </w:pPr>
    </w:p>
    <w:p w:rsidR="00860E17" w:rsidRPr="00384917" w:rsidRDefault="00860E17">
      <w:pPr>
        <w:rPr>
          <w:lang w:val="en-GB"/>
        </w:rPr>
      </w:pPr>
    </w:p>
    <w:sectPr w:rsidR="00860E17" w:rsidRPr="003849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17"/>
    <w:rsid w:val="00384917"/>
    <w:rsid w:val="00860E1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98AA67-3501-4AE9-9CAA-0D005BA6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4917"/>
    <w:rPr>
      <w:color w:val="0563C1" w:themeColor="hyperlink"/>
      <w:u w:val="single"/>
    </w:rPr>
  </w:style>
  <w:style w:type="paragraph" w:styleId="BalloonText">
    <w:name w:val="Balloon Text"/>
    <w:basedOn w:val="Normal"/>
    <w:link w:val="BalloonTextChar"/>
    <w:uiPriority w:val="99"/>
    <w:semiHidden/>
    <w:unhideWhenUsed/>
    <w:rsid w:val="00384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917"/>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c.europa.eu/enlargement/index_en.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c.europa.eu/europeaid/index_en.htm"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308</Words>
  <Characters>1700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ODISEE</Company>
  <LinksUpToDate>false</LinksUpToDate>
  <CharactersWithSpaces>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vanden Berg</dc:creator>
  <cp:keywords/>
  <dc:description/>
  <cp:lastModifiedBy>Willem vanden Berg</cp:lastModifiedBy>
  <cp:revision>1</cp:revision>
  <cp:lastPrinted>2016-06-21T07:28:00Z</cp:lastPrinted>
  <dcterms:created xsi:type="dcterms:W3CDTF">2016-06-21T07:25:00Z</dcterms:created>
  <dcterms:modified xsi:type="dcterms:W3CDTF">2016-06-21T07:31:00Z</dcterms:modified>
</cp:coreProperties>
</file>